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0129" w14:textId="40EF3FBC" w:rsidR="005A6B80" w:rsidRPr="002F78E8" w:rsidRDefault="005A6B80" w:rsidP="001E30A4">
      <w:pPr>
        <w:pStyle w:val="paragraph"/>
        <w:spacing w:before="120" w:beforeAutospacing="0" w:after="120" w:afterAutospacing="0" w:line="288" w:lineRule="auto"/>
        <w:textAlignment w:val="baseline"/>
        <w:rPr>
          <w:rFonts w:ascii="Montserrat" w:hAnsi="Montserrat" w:cs="Segoe UI"/>
          <w:sz w:val="18"/>
          <w:szCs w:val="18"/>
        </w:rPr>
      </w:pPr>
      <w:r w:rsidRPr="002F78E8">
        <w:rPr>
          <w:rFonts w:ascii="Montserrat" w:eastAsiaTheme="minorHAnsi" w:hAnsi="Montserrat" w:cstheme="minorBidi"/>
          <w:noProof/>
          <w:sz w:val="22"/>
          <w:szCs w:val="22"/>
          <w:lang w:eastAsia="en-US"/>
        </w:rPr>
        <w:drawing>
          <wp:inline distT="0" distB="0" distL="0" distR="0" wp14:anchorId="03E4B520" wp14:editId="5AC7D534">
            <wp:extent cx="1438995" cy="169545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12" cy="169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8E8">
        <w:rPr>
          <w:rStyle w:val="normaltextrun"/>
          <w:sz w:val="20"/>
          <w:szCs w:val="20"/>
        </w:rPr>
        <w:t> </w:t>
      </w:r>
      <w:r w:rsidRPr="002F78E8">
        <w:rPr>
          <w:rStyle w:val="eop"/>
          <w:rFonts w:ascii="Montserrat" w:hAnsi="Montserrat" w:cs="Segoe UI"/>
          <w:sz w:val="20"/>
          <w:szCs w:val="20"/>
        </w:rPr>
        <w:t> </w:t>
      </w:r>
    </w:p>
    <w:p w14:paraId="64EB5836" w14:textId="77777777" w:rsidR="005A6B80" w:rsidRPr="002F78E8" w:rsidRDefault="005A6B80" w:rsidP="001E30A4">
      <w:pPr>
        <w:pStyle w:val="paragraph"/>
        <w:spacing w:before="120" w:beforeAutospacing="0" w:after="120" w:afterAutospacing="0" w:line="288" w:lineRule="auto"/>
        <w:textAlignment w:val="baseline"/>
        <w:rPr>
          <w:rFonts w:ascii="Montserrat" w:hAnsi="Montserrat" w:cs="Segoe UI"/>
          <w:sz w:val="18"/>
          <w:szCs w:val="18"/>
        </w:rPr>
      </w:pPr>
      <w:r w:rsidRPr="002F78E8">
        <w:rPr>
          <w:rStyle w:val="normaltextrun"/>
          <w:sz w:val="20"/>
          <w:szCs w:val="20"/>
        </w:rPr>
        <w:t> </w:t>
      </w:r>
      <w:r w:rsidRPr="002F78E8">
        <w:rPr>
          <w:rStyle w:val="eop"/>
          <w:rFonts w:ascii="Montserrat" w:hAnsi="Montserrat" w:cs="Segoe UI"/>
          <w:sz w:val="20"/>
          <w:szCs w:val="20"/>
        </w:rPr>
        <w:t> </w:t>
      </w:r>
    </w:p>
    <w:p w14:paraId="73AD61F8" w14:textId="5CDEC48D" w:rsidR="00B55C9E" w:rsidRPr="00451406" w:rsidRDefault="00B4344A" w:rsidP="001E30A4">
      <w:pPr>
        <w:pStyle w:val="paragraph"/>
        <w:spacing w:before="120" w:beforeAutospacing="0" w:after="120" w:afterAutospacing="0" w:line="288" w:lineRule="auto"/>
        <w:textAlignment w:val="baseline"/>
        <w:rPr>
          <w:rFonts w:ascii="Montserrat" w:hAnsi="Montserrat" w:cs="Segoe UI"/>
          <w:b/>
          <w:bCs/>
          <w:color w:val="2F5496" w:themeColor="accent1" w:themeShade="BF"/>
          <w:sz w:val="28"/>
          <w:szCs w:val="28"/>
        </w:rPr>
      </w:pPr>
      <w:r>
        <w:rPr>
          <w:rStyle w:val="normaltextrun"/>
          <w:rFonts w:ascii="Montserrat" w:hAnsi="Montserrat" w:cs="Segoe UI"/>
          <w:b/>
          <w:bCs/>
          <w:color w:val="2F5496" w:themeColor="accent1" w:themeShade="BF"/>
          <w:sz w:val="28"/>
          <w:szCs w:val="28"/>
        </w:rPr>
        <w:t>Summary of MWC report</w:t>
      </w:r>
    </w:p>
    <w:p w14:paraId="169710E0" w14:textId="01653F54" w:rsidR="00B4344A" w:rsidRPr="00B4344A" w:rsidRDefault="005A6B80" w:rsidP="00B4344A">
      <w:pPr>
        <w:pStyle w:val="paragraph"/>
        <w:shd w:val="clear" w:color="auto" w:fill="D9D9D9"/>
        <w:spacing w:before="120" w:beforeAutospacing="0" w:after="240" w:afterAutospacing="0" w:line="288" w:lineRule="auto"/>
        <w:textAlignment w:val="baseline"/>
        <w:rPr>
          <w:rFonts w:ascii="Montserrat" w:hAnsi="Montserrat" w:cs="Segoe UI"/>
          <w:sz w:val="18"/>
          <w:szCs w:val="18"/>
        </w:rPr>
      </w:pPr>
      <w:r w:rsidRPr="002F78E8">
        <w:rPr>
          <w:rStyle w:val="normaltextrun"/>
          <w:rFonts w:ascii="Montserrat" w:hAnsi="Montserrat" w:cs="Segoe UI"/>
          <w:b/>
          <w:bCs/>
          <w:color w:val="000000"/>
          <w:sz w:val="22"/>
          <w:szCs w:val="22"/>
        </w:rPr>
        <w:t>Date:</w:t>
      </w:r>
      <w:r w:rsidR="007E5947" w:rsidRPr="002F78E8">
        <w:rPr>
          <w:rStyle w:val="normaltextrun"/>
          <w:rFonts w:ascii="Montserrat" w:hAnsi="Montserrat" w:cs="Segoe UI"/>
          <w:b/>
          <w:bCs/>
          <w:color w:val="000000"/>
          <w:sz w:val="22"/>
          <w:szCs w:val="22"/>
        </w:rPr>
        <w:t xml:space="preserve"> </w:t>
      </w:r>
      <w:r w:rsidR="00D84BE6">
        <w:rPr>
          <w:rStyle w:val="normaltextrun"/>
          <w:rFonts w:ascii="Montserrat" w:hAnsi="Montserrat" w:cs="Segoe UI"/>
          <w:b/>
          <w:bCs/>
          <w:color w:val="000000"/>
          <w:sz w:val="22"/>
          <w:szCs w:val="22"/>
        </w:rPr>
        <w:t>23/09</w:t>
      </w:r>
      <w:r w:rsidR="00246467">
        <w:rPr>
          <w:rStyle w:val="normaltextrun"/>
          <w:rFonts w:ascii="Montserrat" w:hAnsi="Montserrat" w:cs="Segoe UI"/>
          <w:b/>
          <w:bCs/>
          <w:color w:val="000000"/>
          <w:sz w:val="22"/>
          <w:szCs w:val="22"/>
        </w:rPr>
        <w:t>/202</w:t>
      </w:r>
      <w:r w:rsidR="00D84BE6">
        <w:rPr>
          <w:rStyle w:val="normaltextrun"/>
          <w:rFonts w:ascii="Montserrat" w:hAnsi="Montserrat" w:cs="Segoe UI"/>
          <w:b/>
          <w:bCs/>
          <w:color w:val="000000"/>
          <w:sz w:val="22"/>
          <w:szCs w:val="22"/>
        </w:rPr>
        <w:t>1</w:t>
      </w:r>
    </w:p>
    <w:p w14:paraId="3C6F0FAF" w14:textId="77777777" w:rsidR="00B4344A" w:rsidRPr="00B4344A" w:rsidRDefault="00B4344A" w:rsidP="00B4344A">
      <w:p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 xml:space="preserve">The MWC has published its report, </w:t>
      </w:r>
      <w:hyperlink r:id="rId9" w:history="1">
        <w:r w:rsidRPr="00B4344A">
          <w:rPr>
            <w:rStyle w:val="Hyperlink"/>
            <w:rFonts w:ascii="Montserrat" w:hAnsi="Montserrat"/>
            <w:i/>
            <w:iCs/>
            <w:noProof/>
            <w:lang w:eastAsia="en-GB"/>
          </w:rPr>
          <w:t>Racial inequality and mental health services in Scotland</w:t>
        </w:r>
      </w:hyperlink>
      <w:r w:rsidRPr="00B4344A">
        <w:rPr>
          <w:rFonts w:ascii="Montserrat" w:hAnsi="Montserrat"/>
          <w:noProof/>
          <w:lang w:eastAsia="en-GB"/>
        </w:rPr>
        <w:t>. It provides a greater focus on the experiences of our ethnically diverse communities in services, identifying systemic failings and proposing steps to take in response. Its key findings include:</w:t>
      </w:r>
    </w:p>
    <w:p w14:paraId="0BB9754C" w14:textId="77777777" w:rsidR="00B4344A" w:rsidRPr="00B4344A" w:rsidRDefault="00B4344A" w:rsidP="00B4344A">
      <w:pPr>
        <w:numPr>
          <w:ilvl w:val="0"/>
          <w:numId w:val="40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differences in how the Mental Health Act is applied when people from ethnic minorities are detained for mental health care and treatment compared to white Scottish people</w:t>
      </w:r>
    </w:p>
    <w:p w14:paraId="64D58FC4" w14:textId="77777777" w:rsidR="00B4344A" w:rsidRPr="00B4344A" w:rsidRDefault="00B4344A" w:rsidP="00B4344A">
      <w:pPr>
        <w:numPr>
          <w:ilvl w:val="0"/>
          <w:numId w:val="40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people from a community of colour disproportionately making up the population requiring care under the Mental Health Act.</w:t>
      </w:r>
    </w:p>
    <w:p w14:paraId="6FF94404" w14:textId="77777777" w:rsidR="00B4344A" w:rsidRPr="00B4344A" w:rsidRDefault="00B4344A" w:rsidP="00B4344A">
      <w:pPr>
        <w:numPr>
          <w:ilvl w:val="0"/>
          <w:numId w:val="40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praise for third sector and community organisations for working with refugee communities to build bridges to MH services, but concern from these communities at the micro aggressions they faced and a lack of understanding from GPs.</w:t>
      </w:r>
    </w:p>
    <w:p w14:paraId="48B34A49" w14:textId="77777777" w:rsidR="00B4344A" w:rsidRPr="00B4344A" w:rsidRDefault="00B4344A" w:rsidP="00B4344A">
      <w:pPr>
        <w:numPr>
          <w:ilvl w:val="0"/>
          <w:numId w:val="40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over 70% of staff surveyed stating there were gaps in ethnicity/diversity training provided by the NHS.</w:t>
      </w:r>
    </w:p>
    <w:p w14:paraId="21359DAD" w14:textId="77777777" w:rsidR="00B4344A" w:rsidRPr="00B4344A" w:rsidRDefault="00B4344A" w:rsidP="00B4344A">
      <w:pPr>
        <w:numPr>
          <w:ilvl w:val="0"/>
          <w:numId w:val="40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Potential differential attainment within the NHS for those from an ethnically diverse community across senior roles.</w:t>
      </w:r>
    </w:p>
    <w:p w14:paraId="20EEB072" w14:textId="77777777" w:rsidR="00B4344A" w:rsidRPr="00B4344A" w:rsidRDefault="00B4344A" w:rsidP="00B4344A">
      <w:pPr>
        <w:spacing w:line="288" w:lineRule="auto"/>
        <w:rPr>
          <w:rFonts w:ascii="Montserrat" w:hAnsi="Montserrat"/>
          <w:noProof/>
          <w:lang w:eastAsia="en-GB"/>
        </w:rPr>
      </w:pPr>
    </w:p>
    <w:p w14:paraId="7FF3BA89" w14:textId="77777777" w:rsidR="00B4344A" w:rsidRPr="00B4344A" w:rsidRDefault="00B4344A" w:rsidP="00B4344A">
      <w:p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Findings of particular relevance to psychiatry included:</w:t>
      </w:r>
    </w:p>
    <w:p w14:paraId="444811A8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63% of responding psychiatrists stated they rarely or never entered a patient’s ethnicity, citing difficulties in doing so during what can be emergency situations alongside other possible barriers</w:t>
      </w:r>
    </w:p>
    <w:p w14:paraId="1BDA257D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People entered as African, Caribbean or Black being likelier than any other ethnic group to be perceived as a threat to others when being detained</w:t>
      </w:r>
    </w:p>
    <w:p w14:paraId="1ADCDC84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lastRenderedPageBreak/>
        <w:t>Data from the College in 2020 showed 16% of the Membership in Scotland is from a visible minority, but make up only 5% of our Fellows</w:t>
      </w:r>
    </w:p>
    <w:p w14:paraId="26047EF5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30% of staff reported that they had experienced racism in their wards/teams. Many reported incidents were then not addressed, with one survey respondent saying they left their job because of a failure to address this.</w:t>
      </w:r>
    </w:p>
    <w:p w14:paraId="15875007" w14:textId="77777777" w:rsidR="00B4344A" w:rsidRPr="00B4344A" w:rsidRDefault="00B4344A" w:rsidP="00B4344A">
      <w:pPr>
        <w:spacing w:line="288" w:lineRule="auto"/>
        <w:rPr>
          <w:rFonts w:ascii="Montserrat" w:hAnsi="Montserrat"/>
          <w:noProof/>
          <w:lang w:eastAsia="en-GB"/>
        </w:rPr>
      </w:pPr>
    </w:p>
    <w:p w14:paraId="0315D9EA" w14:textId="77777777" w:rsidR="00B4344A" w:rsidRPr="00B4344A" w:rsidRDefault="00B4344A" w:rsidP="00B4344A">
      <w:p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Key recommendations include:</w:t>
      </w:r>
    </w:p>
    <w:p w14:paraId="7855906A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Work must be undertaken by health authorities to establish and address barriers to care for these communities</w:t>
      </w:r>
    </w:p>
    <w:p w14:paraId="05922B60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Health and social care partnerships must ensure appropriate reporting and support for the victims of racism, and escalation processes by September 2022.</w:t>
      </w:r>
    </w:p>
    <w:p w14:paraId="5396A577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Promote the importance of recording ethnicity among patients, and raise awareness of link groups for staff from a ethnically diverse background</w:t>
      </w:r>
    </w:p>
    <w:p w14:paraId="5556AAC9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Alter training and guidance for all NHS staff, including around asylum seekers.</w:t>
      </w:r>
    </w:p>
    <w:p w14:paraId="78E2B1B7" w14:textId="77777777" w:rsidR="00B4344A" w:rsidRPr="00B4344A" w:rsidRDefault="00B4344A" w:rsidP="00B4344A">
      <w:pPr>
        <w:numPr>
          <w:ilvl w:val="0"/>
          <w:numId w:val="41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Enable NES to collect specific data on ethnicity and staff grade</w:t>
      </w:r>
    </w:p>
    <w:p w14:paraId="2BC8AB5F" w14:textId="77777777" w:rsidR="00B4344A" w:rsidRPr="00B4344A" w:rsidRDefault="00B4344A" w:rsidP="00B4344A">
      <w:pPr>
        <w:spacing w:line="288" w:lineRule="auto"/>
        <w:rPr>
          <w:rFonts w:ascii="Montserrat" w:hAnsi="Montserrat"/>
          <w:noProof/>
          <w:lang w:eastAsia="en-GB"/>
        </w:rPr>
      </w:pPr>
    </w:p>
    <w:p w14:paraId="4C6338F2" w14:textId="77777777" w:rsidR="00B4344A" w:rsidRPr="00B4344A" w:rsidRDefault="00B4344A" w:rsidP="00B4344A">
      <w:p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There are two recommendations directly applying to the College:</w:t>
      </w:r>
    </w:p>
    <w:p w14:paraId="158C892A" w14:textId="77777777" w:rsidR="00B4344A" w:rsidRPr="00B4344A" w:rsidRDefault="00B4344A" w:rsidP="00B4344A">
      <w:pPr>
        <w:numPr>
          <w:ilvl w:val="0"/>
          <w:numId w:val="42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We are to consider the finding that people from an ethnically diverse community were likelier to be recorded as a risk to others, and less likely as a risk to themselves</w:t>
      </w:r>
    </w:p>
    <w:p w14:paraId="4B76BD4A" w14:textId="77777777" w:rsidR="00B4344A" w:rsidRPr="00B4344A" w:rsidRDefault="00B4344A" w:rsidP="00B4344A">
      <w:pPr>
        <w:numPr>
          <w:ilvl w:val="0"/>
          <w:numId w:val="42"/>
        </w:numPr>
        <w:spacing w:line="288" w:lineRule="auto"/>
        <w:rPr>
          <w:rFonts w:ascii="Montserrat" w:hAnsi="Montserrat"/>
          <w:noProof/>
          <w:lang w:eastAsia="en-GB"/>
        </w:rPr>
      </w:pPr>
      <w:r w:rsidRPr="00B4344A">
        <w:rPr>
          <w:rFonts w:ascii="Montserrat" w:hAnsi="Montserrat"/>
          <w:noProof/>
          <w:lang w:eastAsia="en-GB"/>
        </w:rPr>
        <w:t>We are to explore the potential reasons behind a lower proportion of our College fellows from our communities of colour.</w:t>
      </w:r>
    </w:p>
    <w:p w14:paraId="2548A018" w14:textId="77777777" w:rsidR="00B4344A" w:rsidRPr="00B4344A" w:rsidRDefault="00B4344A" w:rsidP="00B4344A">
      <w:pPr>
        <w:spacing w:line="288" w:lineRule="auto"/>
        <w:rPr>
          <w:rFonts w:ascii="Montserrat" w:hAnsi="Montserrat"/>
          <w:noProof/>
          <w:lang w:eastAsia="en-GB"/>
        </w:rPr>
      </w:pPr>
    </w:p>
    <w:p w14:paraId="545E5AE4" w14:textId="6E3274E2" w:rsidR="00496D3D" w:rsidRPr="00B4344A" w:rsidRDefault="00496D3D" w:rsidP="001E30A4">
      <w:pPr>
        <w:spacing w:line="288" w:lineRule="auto"/>
        <w:rPr>
          <w:rFonts w:ascii="Montserrat" w:hAnsi="Montserrat"/>
          <w:lang w:eastAsia="en-GB"/>
        </w:rPr>
      </w:pPr>
    </w:p>
    <w:sectPr w:rsidR="00496D3D" w:rsidRPr="00B4344A" w:rsidSect="00AC25BE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83A5" w14:textId="77777777" w:rsidR="006170C8" w:rsidRDefault="006170C8" w:rsidP="00C535F5">
      <w:pPr>
        <w:spacing w:after="0" w:line="240" w:lineRule="auto"/>
      </w:pPr>
      <w:r>
        <w:separator/>
      </w:r>
    </w:p>
  </w:endnote>
  <w:endnote w:type="continuationSeparator" w:id="0">
    <w:p w14:paraId="44E76CB7" w14:textId="77777777" w:rsidR="006170C8" w:rsidRDefault="006170C8" w:rsidP="00C5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F13F" w14:textId="77777777" w:rsidR="006170C8" w:rsidRDefault="006170C8" w:rsidP="00C535F5">
      <w:pPr>
        <w:spacing w:after="0" w:line="240" w:lineRule="auto"/>
      </w:pPr>
      <w:r>
        <w:separator/>
      </w:r>
    </w:p>
  </w:footnote>
  <w:footnote w:type="continuationSeparator" w:id="0">
    <w:p w14:paraId="37623D51" w14:textId="77777777" w:rsidR="006170C8" w:rsidRDefault="006170C8" w:rsidP="00C53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9A"/>
    <w:multiLevelType w:val="hybridMultilevel"/>
    <w:tmpl w:val="489C1D0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50BD9"/>
    <w:multiLevelType w:val="hybridMultilevel"/>
    <w:tmpl w:val="68529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D3790"/>
    <w:multiLevelType w:val="hybridMultilevel"/>
    <w:tmpl w:val="B69068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710BC"/>
    <w:multiLevelType w:val="hybridMultilevel"/>
    <w:tmpl w:val="880EE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81042C"/>
    <w:multiLevelType w:val="hybridMultilevel"/>
    <w:tmpl w:val="7D244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A1A21"/>
    <w:multiLevelType w:val="multilevel"/>
    <w:tmpl w:val="3C7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EF48DD"/>
    <w:multiLevelType w:val="hybridMultilevel"/>
    <w:tmpl w:val="0E288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87082"/>
    <w:multiLevelType w:val="hybridMultilevel"/>
    <w:tmpl w:val="082A9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410E91"/>
    <w:multiLevelType w:val="hybridMultilevel"/>
    <w:tmpl w:val="C608B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CB2E0A"/>
    <w:multiLevelType w:val="hybridMultilevel"/>
    <w:tmpl w:val="5A585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363C8E"/>
    <w:multiLevelType w:val="hybridMultilevel"/>
    <w:tmpl w:val="9984D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87C21"/>
    <w:multiLevelType w:val="hybridMultilevel"/>
    <w:tmpl w:val="226E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7B6B4E"/>
    <w:multiLevelType w:val="multilevel"/>
    <w:tmpl w:val="D8CE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524E2E"/>
    <w:multiLevelType w:val="hybridMultilevel"/>
    <w:tmpl w:val="DB7A8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F176B9"/>
    <w:multiLevelType w:val="hybridMultilevel"/>
    <w:tmpl w:val="62A010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716BA3"/>
    <w:multiLevelType w:val="hybridMultilevel"/>
    <w:tmpl w:val="6D722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C0211C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305236"/>
    <w:multiLevelType w:val="multilevel"/>
    <w:tmpl w:val="358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AC37A6"/>
    <w:multiLevelType w:val="hybridMultilevel"/>
    <w:tmpl w:val="20DE6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3A68E1"/>
    <w:multiLevelType w:val="multilevel"/>
    <w:tmpl w:val="A3C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F61D6F"/>
    <w:multiLevelType w:val="hybridMultilevel"/>
    <w:tmpl w:val="A01266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77244"/>
    <w:multiLevelType w:val="multilevel"/>
    <w:tmpl w:val="D05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F07542"/>
    <w:multiLevelType w:val="multilevel"/>
    <w:tmpl w:val="851A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350693"/>
    <w:multiLevelType w:val="hybridMultilevel"/>
    <w:tmpl w:val="C13A6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82036"/>
    <w:multiLevelType w:val="multilevel"/>
    <w:tmpl w:val="F0EE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7E275F"/>
    <w:multiLevelType w:val="hybridMultilevel"/>
    <w:tmpl w:val="343A0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161C54"/>
    <w:multiLevelType w:val="hybridMultilevel"/>
    <w:tmpl w:val="1FAEA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990231"/>
    <w:multiLevelType w:val="hybridMultilevel"/>
    <w:tmpl w:val="775EB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220E2"/>
    <w:multiLevelType w:val="hybridMultilevel"/>
    <w:tmpl w:val="55B2E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4F6E86"/>
    <w:multiLevelType w:val="hybridMultilevel"/>
    <w:tmpl w:val="5D503F30"/>
    <w:lvl w:ilvl="0" w:tplc="71647336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FF32EE"/>
    <w:multiLevelType w:val="multilevel"/>
    <w:tmpl w:val="4A2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23050A"/>
    <w:multiLevelType w:val="hybridMultilevel"/>
    <w:tmpl w:val="17FA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6E3BA1"/>
    <w:multiLevelType w:val="hybridMultilevel"/>
    <w:tmpl w:val="BCD26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3A3745"/>
    <w:multiLevelType w:val="hybridMultilevel"/>
    <w:tmpl w:val="09289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72E9B"/>
    <w:multiLevelType w:val="hybridMultilevel"/>
    <w:tmpl w:val="78141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8E0B45"/>
    <w:multiLevelType w:val="hybridMultilevel"/>
    <w:tmpl w:val="2CC0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00E25"/>
    <w:multiLevelType w:val="multilevel"/>
    <w:tmpl w:val="BEB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1F7FC8"/>
    <w:multiLevelType w:val="hybridMultilevel"/>
    <w:tmpl w:val="C78E3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1AC31CE"/>
    <w:multiLevelType w:val="hybridMultilevel"/>
    <w:tmpl w:val="BA6AE3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502524"/>
    <w:multiLevelType w:val="hybridMultilevel"/>
    <w:tmpl w:val="38F6C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9F7704"/>
    <w:multiLevelType w:val="hybridMultilevel"/>
    <w:tmpl w:val="44061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3D4542"/>
    <w:multiLevelType w:val="hybridMultilevel"/>
    <w:tmpl w:val="58B23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BF2A9E"/>
    <w:multiLevelType w:val="multilevel"/>
    <w:tmpl w:val="49CE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9"/>
  </w:num>
  <w:num w:numId="5">
    <w:abstractNumId w:val="41"/>
  </w:num>
  <w:num w:numId="6">
    <w:abstractNumId w:val="12"/>
  </w:num>
  <w:num w:numId="7">
    <w:abstractNumId w:val="18"/>
  </w:num>
  <w:num w:numId="8">
    <w:abstractNumId w:val="16"/>
  </w:num>
  <w:num w:numId="9">
    <w:abstractNumId w:val="5"/>
  </w:num>
  <w:num w:numId="10">
    <w:abstractNumId w:val="20"/>
  </w:num>
  <w:num w:numId="11">
    <w:abstractNumId w:val="0"/>
  </w:num>
  <w:num w:numId="12">
    <w:abstractNumId w:val="14"/>
  </w:num>
  <w:num w:numId="13">
    <w:abstractNumId w:val="17"/>
  </w:num>
  <w:num w:numId="14">
    <w:abstractNumId w:val="40"/>
  </w:num>
  <w:num w:numId="15">
    <w:abstractNumId w:val="3"/>
  </w:num>
  <w:num w:numId="16">
    <w:abstractNumId w:val="36"/>
  </w:num>
  <w:num w:numId="17">
    <w:abstractNumId w:val="33"/>
  </w:num>
  <w:num w:numId="18">
    <w:abstractNumId w:val="15"/>
  </w:num>
  <w:num w:numId="19">
    <w:abstractNumId w:val="8"/>
  </w:num>
  <w:num w:numId="20">
    <w:abstractNumId w:val="11"/>
  </w:num>
  <w:num w:numId="21">
    <w:abstractNumId w:val="30"/>
  </w:num>
  <w:num w:numId="22">
    <w:abstractNumId w:val="9"/>
  </w:num>
  <w:num w:numId="23">
    <w:abstractNumId w:val="26"/>
  </w:num>
  <w:num w:numId="24">
    <w:abstractNumId w:val="10"/>
  </w:num>
  <w:num w:numId="25">
    <w:abstractNumId w:val="37"/>
  </w:num>
  <w:num w:numId="26">
    <w:abstractNumId w:val="27"/>
  </w:num>
  <w:num w:numId="27">
    <w:abstractNumId w:val="6"/>
  </w:num>
  <w:num w:numId="28">
    <w:abstractNumId w:val="31"/>
  </w:num>
  <w:num w:numId="29">
    <w:abstractNumId w:val="22"/>
  </w:num>
  <w:num w:numId="30">
    <w:abstractNumId w:val="2"/>
  </w:num>
  <w:num w:numId="31">
    <w:abstractNumId w:val="39"/>
  </w:num>
  <w:num w:numId="32">
    <w:abstractNumId w:val="28"/>
  </w:num>
  <w:num w:numId="33">
    <w:abstractNumId w:val="4"/>
  </w:num>
  <w:num w:numId="34">
    <w:abstractNumId w:val="38"/>
  </w:num>
  <w:num w:numId="35">
    <w:abstractNumId w:val="1"/>
  </w:num>
  <w:num w:numId="36">
    <w:abstractNumId w:val="34"/>
  </w:num>
  <w:num w:numId="37">
    <w:abstractNumId w:val="24"/>
  </w:num>
  <w:num w:numId="38">
    <w:abstractNumId w:val="19"/>
  </w:num>
  <w:num w:numId="39">
    <w:abstractNumId w:val="25"/>
  </w:num>
  <w:num w:numId="4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80"/>
    <w:rsid w:val="00012217"/>
    <w:rsid w:val="00027DFA"/>
    <w:rsid w:val="00040773"/>
    <w:rsid w:val="000765A8"/>
    <w:rsid w:val="000B36E2"/>
    <w:rsid w:val="000C4133"/>
    <w:rsid w:val="000E65DC"/>
    <w:rsid w:val="000F0E99"/>
    <w:rsid w:val="00111C53"/>
    <w:rsid w:val="00113EEA"/>
    <w:rsid w:val="001331D7"/>
    <w:rsid w:val="0015376C"/>
    <w:rsid w:val="00156543"/>
    <w:rsid w:val="001646EA"/>
    <w:rsid w:val="00171FE3"/>
    <w:rsid w:val="00195DC9"/>
    <w:rsid w:val="001C49FA"/>
    <w:rsid w:val="001D3DC1"/>
    <w:rsid w:val="001E1D72"/>
    <w:rsid w:val="001E30A4"/>
    <w:rsid w:val="001F1401"/>
    <w:rsid w:val="001F6529"/>
    <w:rsid w:val="00241AB1"/>
    <w:rsid w:val="0024412E"/>
    <w:rsid w:val="00246467"/>
    <w:rsid w:val="002741AB"/>
    <w:rsid w:val="00287715"/>
    <w:rsid w:val="002F598F"/>
    <w:rsid w:val="002F78E8"/>
    <w:rsid w:val="00344036"/>
    <w:rsid w:val="00347457"/>
    <w:rsid w:val="00351B11"/>
    <w:rsid w:val="0037510C"/>
    <w:rsid w:val="00376656"/>
    <w:rsid w:val="003912E3"/>
    <w:rsid w:val="003B0CAE"/>
    <w:rsid w:val="003B166E"/>
    <w:rsid w:val="003C462B"/>
    <w:rsid w:val="003D0A45"/>
    <w:rsid w:val="003D386C"/>
    <w:rsid w:val="003D7C46"/>
    <w:rsid w:val="00431240"/>
    <w:rsid w:val="00451406"/>
    <w:rsid w:val="0046406D"/>
    <w:rsid w:val="004727FF"/>
    <w:rsid w:val="004876DC"/>
    <w:rsid w:val="00494B4B"/>
    <w:rsid w:val="00496D3D"/>
    <w:rsid w:val="004E1FA4"/>
    <w:rsid w:val="00515FC2"/>
    <w:rsid w:val="005A6B80"/>
    <w:rsid w:val="005F3A21"/>
    <w:rsid w:val="005F515E"/>
    <w:rsid w:val="00612F96"/>
    <w:rsid w:val="006170C8"/>
    <w:rsid w:val="006530A5"/>
    <w:rsid w:val="0068662F"/>
    <w:rsid w:val="006E5678"/>
    <w:rsid w:val="00737D7A"/>
    <w:rsid w:val="00753F6D"/>
    <w:rsid w:val="00770FC8"/>
    <w:rsid w:val="00774C7D"/>
    <w:rsid w:val="0079480D"/>
    <w:rsid w:val="007C617C"/>
    <w:rsid w:val="007C7AA8"/>
    <w:rsid w:val="007D1225"/>
    <w:rsid w:val="007E4EBC"/>
    <w:rsid w:val="007E5947"/>
    <w:rsid w:val="008248ED"/>
    <w:rsid w:val="00832D2C"/>
    <w:rsid w:val="00863E4B"/>
    <w:rsid w:val="00867CD5"/>
    <w:rsid w:val="0088387E"/>
    <w:rsid w:val="008C2052"/>
    <w:rsid w:val="008E25F8"/>
    <w:rsid w:val="008E46AF"/>
    <w:rsid w:val="008F6D32"/>
    <w:rsid w:val="0090724A"/>
    <w:rsid w:val="009360C4"/>
    <w:rsid w:val="009546FB"/>
    <w:rsid w:val="00977C5E"/>
    <w:rsid w:val="009B48F4"/>
    <w:rsid w:val="00A8033F"/>
    <w:rsid w:val="00A825E1"/>
    <w:rsid w:val="00A842A5"/>
    <w:rsid w:val="00A84FEB"/>
    <w:rsid w:val="00AC25BE"/>
    <w:rsid w:val="00B24BDE"/>
    <w:rsid w:val="00B429C7"/>
    <w:rsid w:val="00B4344A"/>
    <w:rsid w:val="00B55C9E"/>
    <w:rsid w:val="00BC0E66"/>
    <w:rsid w:val="00BD4550"/>
    <w:rsid w:val="00C04B85"/>
    <w:rsid w:val="00C06C85"/>
    <w:rsid w:val="00C535F5"/>
    <w:rsid w:val="00C555EA"/>
    <w:rsid w:val="00C90B06"/>
    <w:rsid w:val="00C94CE8"/>
    <w:rsid w:val="00CD05C4"/>
    <w:rsid w:val="00CE50A5"/>
    <w:rsid w:val="00D0392D"/>
    <w:rsid w:val="00D04ADF"/>
    <w:rsid w:val="00D130E1"/>
    <w:rsid w:val="00D34EDC"/>
    <w:rsid w:val="00D40D7A"/>
    <w:rsid w:val="00D84BE6"/>
    <w:rsid w:val="00E242EC"/>
    <w:rsid w:val="00E52D74"/>
    <w:rsid w:val="00E608B8"/>
    <w:rsid w:val="00EB17CF"/>
    <w:rsid w:val="00EB7A03"/>
    <w:rsid w:val="00EF7703"/>
    <w:rsid w:val="00F347BB"/>
    <w:rsid w:val="00F4181F"/>
    <w:rsid w:val="00F614E6"/>
    <w:rsid w:val="00F65185"/>
    <w:rsid w:val="00F80F4F"/>
    <w:rsid w:val="00FB1528"/>
    <w:rsid w:val="00FB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A1C56"/>
  <w15:chartTrackingRefBased/>
  <w15:docId w15:val="{FDAB8764-B1A3-4A02-8FEF-255C5468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6B80"/>
  </w:style>
  <w:style w:type="character" w:customStyle="1" w:styleId="eop">
    <w:name w:val="eop"/>
    <w:basedOn w:val="DefaultParagraphFont"/>
    <w:rsid w:val="005A6B80"/>
  </w:style>
  <w:style w:type="character" w:customStyle="1" w:styleId="pagebreaktextspan">
    <w:name w:val="pagebreaktextspan"/>
    <w:basedOn w:val="DefaultParagraphFont"/>
    <w:rsid w:val="005A6B80"/>
  </w:style>
  <w:style w:type="character" w:customStyle="1" w:styleId="contextualspellingandgrammarerror">
    <w:name w:val="contextualspellingandgrammarerror"/>
    <w:basedOn w:val="DefaultParagraphFont"/>
    <w:rsid w:val="005A6B80"/>
  </w:style>
  <w:style w:type="character" w:styleId="Hyperlink">
    <w:name w:val="Hyperlink"/>
    <w:basedOn w:val="DefaultParagraphFont"/>
    <w:uiPriority w:val="99"/>
    <w:unhideWhenUsed/>
    <w:rsid w:val="00D03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2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C7"/>
  </w:style>
  <w:style w:type="paragraph" w:styleId="Footer">
    <w:name w:val="footer"/>
    <w:basedOn w:val="Normal"/>
    <w:link w:val="FooterChar"/>
    <w:uiPriority w:val="99"/>
    <w:unhideWhenUsed/>
    <w:rsid w:val="00B4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C7"/>
  </w:style>
  <w:style w:type="paragraph" w:styleId="BalloonText">
    <w:name w:val="Balloon Text"/>
    <w:basedOn w:val="Normal"/>
    <w:link w:val="BalloonTextChar"/>
    <w:uiPriority w:val="99"/>
    <w:semiHidden/>
    <w:unhideWhenUsed/>
    <w:rsid w:val="00B2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mwcscot.org.uk%2Fsites%2Fdefault%2Ffiles%2F2021-09%2FRacial-Inequality-Scotland_Report_Sep2021.pdf&amp;data=04%7C01%7CAidan.Reid%40rcpsych.ac.uk%7C2ffd45f6b20a499ec00d08d97e66b028%7C75aac48a29ab4230adac69d3e7ed3e77%7C0%7C0%7C637679801773541286%7CUnknown%7CTWFpbGZsb3d8eyJWIjoiMC4wLjAwMDAiLCJQIjoiV2luMzIiLCJBTiI6Ik1haWwiLCJXVCI6Mn0%3D%7C1000&amp;sdata=QlUgtZW06rgFVdZNN9xAADXOUThydSZG4VJ%2BSoix%2Ff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4165-492B-4D8D-92D9-096546F3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Reid</dc:creator>
  <cp:keywords/>
  <dc:description/>
  <cp:lastModifiedBy>Aidan Reid</cp:lastModifiedBy>
  <cp:revision>2</cp:revision>
  <cp:lastPrinted>2020-09-14T09:12:00Z</cp:lastPrinted>
  <dcterms:created xsi:type="dcterms:W3CDTF">2021-09-23T10:06:00Z</dcterms:created>
  <dcterms:modified xsi:type="dcterms:W3CDTF">2021-09-23T10:06:00Z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Aidan.Reid@rcpsych.ac.uk</vt:lpwstr>
  </property>
  <property fmtid="{D5CDD505-2E9C-101B-9397-08002B2CF9AE}" pid="5" name="MSIP_Label_bd238a98-5de3-4afa-b492-e6339810853c_SetDate">
    <vt:lpwstr>2020-04-28T10:24:10.0646003Z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d10e403e-77cb-4b76-876f-bd4c70c01765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</Properties>
</file>